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96597"/>
      <w:bookmarkStart w:id="4" w:name="_Toc15378441"/>
      <w:bookmarkStart w:id="5" w:name="_Toc15377193"/>
      <w:r>
        <w:rPr>
          <w:rFonts w:ascii="黑体" w:hAnsi="黑体" w:eastAsia="黑体"/>
          <w:color w:val="000000"/>
          <w:sz w:val="72"/>
          <w:szCs w:val="72"/>
        </w:rPr>
        <w:t>201</w:t>
      </w:r>
      <w:r>
        <w:rPr>
          <w:rFonts w:hint="eastAsia" w:ascii="黑体" w:hAnsi="黑体" w:eastAsia="黑体"/>
          <w:color w:val="000000"/>
          <w:sz w:val="72"/>
          <w:szCs w:val="72"/>
          <w:lang w:val="en-US" w:eastAsia="zh-CN"/>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476"/>
      <w:bookmarkStart w:id="7" w:name="_Toc15378442"/>
      <w:bookmarkStart w:id="8" w:name="_Toc15377194"/>
      <w:bookmarkStart w:id="9" w:name="_Toc15377426"/>
      <w:bookmarkStart w:id="10" w:name="_Toc15396598"/>
      <w:bookmarkStart w:id="11" w:name="_Toc15306268"/>
      <w:r>
        <w:rPr>
          <w:rFonts w:hint="eastAsia" w:ascii="方正小标宋简体" w:hAnsi="宋体" w:eastAsia="方正小标宋简体"/>
          <w:color w:val="000000"/>
          <w:sz w:val="72"/>
          <w:szCs w:val="72"/>
          <w:lang w:eastAsia="zh-CN"/>
        </w:rPr>
        <w:t>古蔺县投资服务局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w:t>
      </w:r>
      <w:r>
        <w:rPr>
          <w:rFonts w:hint="eastAsia"/>
          <w:lang w:eastAsia="zh-CN"/>
        </w:rPr>
        <w:t>201</w:t>
      </w:r>
      <w:r>
        <w:rPr>
          <w:rFonts w:hint="eastAsia"/>
          <w:lang w:val="en-US" w:eastAsia="zh-CN"/>
        </w:rPr>
        <w:t>9</w:t>
      </w:r>
      <w:r>
        <w:rPr>
          <w:rFonts w:hint="eastAsia"/>
        </w:rPr>
        <w:t>年</w:t>
      </w:r>
      <w:r>
        <w:rPr>
          <w:rFonts w:hint="eastAsia"/>
          <w:lang w:val="en-US" w:eastAsia="zh-CN"/>
        </w:rPr>
        <w:t>8</w:t>
      </w:r>
      <w:r>
        <w:rPr>
          <w:rFonts w:hint="eastAsia"/>
        </w:rPr>
        <w:t>月</w:t>
      </w:r>
      <w:r>
        <w:rPr>
          <w:rFonts w:hint="eastAsia"/>
          <w:lang w:val="en-US" w:eastAsia="zh-CN"/>
        </w:rPr>
        <w:t>22</w:t>
      </w:r>
      <w:bookmarkStart w:id="73" w:name="_GoBack"/>
      <w:bookmarkEnd w:id="73"/>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p>
    <w:p>
      <w:pPr>
        <w:pStyle w:val="12"/>
        <w:adjustRightInd w:val="0"/>
        <w:snapToGrid w:val="0"/>
        <w:spacing w:line="440" w:lineRule="exact"/>
        <w:jc w:val="left"/>
        <w:rPr>
          <w:rFonts w:ascii="仿宋" w:hAnsi="仿宋" w:eastAsia="仿宋" w:cstheme="minorBidi"/>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第二部分度部门决算情况说明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7"/>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2"/>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pStyle w:val="3"/>
        <w:pageBreakBefore w:val="0"/>
        <w:widowControl w:val="0"/>
        <w:kinsoku/>
        <w:wordWrap/>
        <w:overflowPunct/>
        <w:topLinePunct w:val="0"/>
        <w:autoSpaceDE/>
        <w:autoSpaceDN/>
        <w:bidi w:val="0"/>
        <w:spacing w:line="500" w:lineRule="exact"/>
        <w:textAlignment w:val="auto"/>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贯彻执行中央、省、市扩大开放、投资促进、招商引资的方针政策，负责全县投资促进和招商引资的具体政策、措施、规划、年度计划的制定、执行、监督和落实;负责全县投资促进相关工作的统筹组织，指导并督查全县各乡镇、各有关部门投资促进工作;负责建立和完善招商项目库,牵头负责全县招商引资项目的包装、信息发布及对外宣传工作;承办全县重大招商引资活动；负责全县重点、重大项目的招商引资跟踪促进和统筹协调工作;为外来投资者代办投资相关手续，协调解决投资者反映的重要问题;负责县招商引资指标运行的统计、分析、上报工作;为投资者提供咨询服务。负责外地驻蔺办事机构设立的接洽工作;完成县委、县政府交办的其他工作。</w:t>
      </w:r>
    </w:p>
    <w:p>
      <w:pPr>
        <w:pStyle w:val="5"/>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2018</w:t>
      </w:r>
      <w:r>
        <w:rPr>
          <w:rFonts w:hint="eastAsia" w:ascii="仿宋" w:hAnsi="仿宋" w:eastAsia="仿宋"/>
          <w:bCs/>
          <w:color w:val="000000"/>
          <w:sz w:val="32"/>
          <w:szCs w:val="32"/>
        </w:rPr>
        <w:t>年重点工作完成情况。</w:t>
      </w:r>
      <w:bookmarkEnd w:id="18"/>
      <w:bookmarkEnd w:id="19"/>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2018年共引进到位市外国内121.49亿元，占市下目标任务的105.64%。</w:t>
      </w:r>
    </w:p>
    <w:p>
      <w:pPr>
        <w:pStyle w:val="3"/>
        <w:pageBreakBefore w:val="0"/>
        <w:widowControl w:val="0"/>
        <w:kinsoku/>
        <w:wordWrap/>
        <w:overflowPunct/>
        <w:topLinePunct w:val="0"/>
        <w:autoSpaceDE/>
        <w:autoSpaceDN/>
        <w:bidi w:val="0"/>
        <w:spacing w:line="500" w:lineRule="exact"/>
        <w:textAlignment w:val="auto"/>
        <w:rPr>
          <w:rStyle w:val="2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投资服务局是参照公务员法管理的事业单位，核定人员编制为7人，实有在职人员7人，无临聘人员和借用人员，无退休职工。</w:t>
      </w:r>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无</w:t>
      </w:r>
      <w:r>
        <w:rPr>
          <w:rFonts w:hint="eastAsia" w:ascii="仿宋" w:hAnsi="仿宋" w:eastAsia="仿宋"/>
          <w:color w:val="000000"/>
          <w:sz w:val="32"/>
          <w:szCs w:val="32"/>
        </w:rPr>
        <w:t>纳入</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年度部门决算编制范围的二级预算单位</w:t>
      </w:r>
      <w:r>
        <w:rPr>
          <w:rFonts w:hint="eastAsia" w:ascii="仿宋" w:hAnsi="仿宋" w:eastAsia="仿宋"/>
          <w:color w:val="000000"/>
          <w:sz w:val="32"/>
          <w:szCs w:val="32"/>
          <w:lang w:eastAsia="zh-CN"/>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lang w:eastAsia="zh-CN"/>
        </w:rPr>
        <w:t>2018</w:t>
      </w:r>
      <w:r>
        <w:rPr>
          <w:rStyle w:val="26"/>
          <w:rFonts w:hint="eastAsia" w:ascii="黑体" w:hAnsi="黑体" w:eastAsia="黑体"/>
          <w:b w:val="0"/>
          <w:bCs w:val="0"/>
        </w:rPr>
        <w:t>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napToGrid w:val="0"/>
        <w:spacing w:line="520" w:lineRule="exact"/>
        <w:ind w:firstLine="640" w:firstLineChars="200"/>
        <w:rPr>
          <w:rFonts w:ascii="仿宋_GB2312" w:eastAsia="仿宋_GB2312"/>
          <w:color w:val="000000"/>
          <w:sz w:val="32"/>
          <w:szCs w:val="32"/>
        </w:rPr>
      </w:pPr>
      <w:r>
        <w:rPr>
          <w:rFonts w:hint="eastAsia" w:ascii="仿宋_GB2312" w:hAnsi="仿宋" w:eastAsia="仿宋_GB2312"/>
          <w:sz w:val="32"/>
          <w:szCs w:val="32"/>
          <w:lang w:val="en-US" w:eastAsia="zh-CN"/>
        </w:rPr>
        <w:t>2018年投资服务局收入总额为320.08万元，其中：当年财政拨款收入320.08万元。其中：一般公共服务186.46万元，医疗卫生3.18万元，住房保障支出5.45万元，养老保险5.13万元。支出200.22万元，主要用于单位行政运行及业务工作开展。</w:t>
      </w:r>
      <w:r>
        <w:rPr>
          <w:rFonts w:hint="eastAsia" w:ascii="仿宋_GB2312" w:hAnsi="仿宋" w:eastAsia="仿宋_GB2312"/>
          <w:sz w:val="32"/>
          <w:szCs w:val="32"/>
        </w:rPr>
        <w:t>与上年对比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120.97万元，主要原因是2018年招商引资工作经费减少。</w:t>
      </w:r>
    </w:p>
    <w:p>
      <w:pPr>
        <w:pStyle w:val="25"/>
        <w:numPr>
          <w:ilvl w:val="0"/>
          <w:numId w:val="1"/>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eastAsia="zh-CN"/>
        </w:rPr>
        <w:t>2018</w:t>
      </w:r>
      <w:r>
        <w:rPr>
          <w:rFonts w:hint="eastAsia" w:ascii="仿宋" w:hAnsi="仿宋" w:eastAsia="仿宋"/>
          <w:color w:val="000000"/>
          <w:sz w:val="32"/>
          <w:szCs w:val="32"/>
        </w:rPr>
        <w:t>年本年收入合计</w:t>
      </w:r>
      <w:r>
        <w:rPr>
          <w:rFonts w:hint="eastAsia" w:ascii="仿宋_GB2312" w:hAnsi="仿宋" w:eastAsia="仿宋_GB2312"/>
          <w:sz w:val="32"/>
          <w:szCs w:val="32"/>
          <w:lang w:val="en-US" w:eastAsia="zh-CN"/>
        </w:rPr>
        <w:t>320.08</w:t>
      </w:r>
      <w:r>
        <w:rPr>
          <w:rFonts w:hint="eastAsia" w:ascii="仿宋" w:hAnsi="仿宋" w:eastAsia="仿宋"/>
          <w:color w:val="000000"/>
          <w:sz w:val="32"/>
          <w:szCs w:val="32"/>
        </w:rPr>
        <w:t>万元，其中：一般公共预算财政拨款收入</w:t>
      </w:r>
      <w:r>
        <w:rPr>
          <w:rFonts w:hint="eastAsia" w:ascii="仿宋_GB2312" w:hAnsi="仿宋" w:eastAsia="仿宋_GB2312"/>
          <w:sz w:val="32"/>
          <w:szCs w:val="32"/>
          <w:lang w:val="en-US" w:eastAsia="zh-CN"/>
        </w:rPr>
        <w:t>320.08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5"/>
        <w:numPr>
          <w:ilvl w:val="0"/>
          <w:numId w:val="1"/>
        </w:numPr>
        <w:spacing w:line="60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eastAsia="zh-CN"/>
        </w:rPr>
        <w:t>2018</w:t>
      </w:r>
      <w:r>
        <w:rPr>
          <w:rFonts w:hint="eastAsia" w:ascii="仿宋" w:hAnsi="仿宋" w:eastAsia="仿宋"/>
          <w:color w:val="000000"/>
          <w:sz w:val="32"/>
          <w:szCs w:val="32"/>
        </w:rPr>
        <w:t>年本年支出合计</w:t>
      </w:r>
      <w:r>
        <w:rPr>
          <w:rFonts w:hint="eastAsia" w:ascii="仿宋_GB2312" w:hAnsi="仿宋" w:eastAsia="仿宋_GB2312"/>
          <w:sz w:val="32"/>
          <w:szCs w:val="32"/>
          <w:lang w:val="en-US" w:eastAsia="zh-CN"/>
        </w:rPr>
        <w:t>320.08</w:t>
      </w:r>
      <w:r>
        <w:rPr>
          <w:rFonts w:hint="eastAsia" w:ascii="仿宋" w:hAnsi="仿宋" w:eastAsia="仿宋"/>
          <w:color w:val="000000"/>
          <w:sz w:val="32"/>
          <w:szCs w:val="32"/>
        </w:rPr>
        <w:t>万元，其中：</w:t>
      </w:r>
      <w:r>
        <w:rPr>
          <w:rFonts w:hint="eastAsia" w:ascii="仿宋" w:hAnsi="仿宋" w:eastAsia="仿宋" w:cs="宋体"/>
          <w:color w:val="000000"/>
          <w:sz w:val="32"/>
          <w:szCs w:val="32"/>
        </w:rPr>
        <w:t>基本支出</w:t>
      </w:r>
      <w:r>
        <w:rPr>
          <w:rFonts w:hint="eastAsia" w:ascii="仿宋" w:hAnsi="仿宋" w:eastAsia="仿宋" w:cs="宋体"/>
          <w:color w:val="000000"/>
          <w:sz w:val="32"/>
          <w:szCs w:val="32"/>
          <w:lang w:val="en-US" w:eastAsia="zh-CN"/>
        </w:rPr>
        <w:t>129</w:t>
      </w:r>
      <w:r>
        <w:rPr>
          <w:rFonts w:hint="eastAsia" w:ascii="仿宋" w:hAnsi="仿宋" w:eastAsia="仿宋" w:cs="宋体"/>
          <w:color w:val="000000"/>
          <w:sz w:val="32"/>
          <w:szCs w:val="32"/>
        </w:rPr>
        <w:t>万元，占支出合计的</w:t>
      </w:r>
      <w:r>
        <w:rPr>
          <w:rFonts w:hint="eastAsia" w:ascii="仿宋" w:hAnsi="仿宋" w:eastAsia="仿宋" w:cs="宋体"/>
          <w:color w:val="000000"/>
          <w:sz w:val="32"/>
          <w:szCs w:val="32"/>
          <w:lang w:val="en-US" w:eastAsia="zh-CN"/>
        </w:rPr>
        <w:t>40.3</w:t>
      </w:r>
      <w:r>
        <w:rPr>
          <w:rFonts w:hint="eastAsia" w:ascii="仿宋" w:hAnsi="仿宋" w:eastAsia="仿宋" w:cs="宋体"/>
          <w:color w:val="000000"/>
          <w:sz w:val="32"/>
          <w:szCs w:val="32"/>
        </w:rPr>
        <w:t>%；项目支出</w:t>
      </w:r>
      <w:r>
        <w:rPr>
          <w:rFonts w:hint="eastAsia" w:ascii="仿宋" w:hAnsi="仿宋" w:eastAsia="仿宋" w:cs="宋体"/>
          <w:color w:val="000000"/>
          <w:sz w:val="32"/>
          <w:szCs w:val="32"/>
          <w:lang w:val="en-US" w:eastAsia="zh-CN"/>
        </w:rPr>
        <w:t>191.08</w:t>
      </w:r>
      <w:r>
        <w:rPr>
          <w:rFonts w:hint="eastAsia" w:ascii="仿宋" w:hAnsi="仿宋" w:eastAsia="仿宋" w:cs="宋体"/>
          <w:color w:val="000000"/>
          <w:sz w:val="32"/>
          <w:szCs w:val="32"/>
        </w:rPr>
        <w:t>万元，占支出合计的</w:t>
      </w:r>
      <w:r>
        <w:rPr>
          <w:rFonts w:hint="eastAsia" w:ascii="仿宋" w:hAnsi="仿宋" w:eastAsia="仿宋" w:cs="宋体"/>
          <w:color w:val="000000"/>
          <w:sz w:val="32"/>
          <w:szCs w:val="32"/>
          <w:lang w:val="en-US" w:eastAsia="zh-CN"/>
        </w:rPr>
        <w:t>59.70</w:t>
      </w:r>
      <w:r>
        <w:rPr>
          <w:rFonts w:hint="eastAsia" w:ascii="仿宋" w:hAnsi="仿宋" w:eastAsia="仿宋" w:cs="宋体"/>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2018</w:t>
      </w:r>
      <w:r>
        <w:rPr>
          <w:rFonts w:hint="eastAsia" w:ascii="仿宋" w:hAnsi="仿宋" w:eastAsia="仿宋"/>
          <w:color w:val="000000"/>
          <w:sz w:val="32"/>
          <w:szCs w:val="32"/>
        </w:rPr>
        <w:t>年财政拨款收、支总计</w:t>
      </w:r>
      <w:r>
        <w:rPr>
          <w:rFonts w:hint="eastAsia" w:ascii="仿宋_GB2312" w:hAnsi="仿宋" w:eastAsia="仿宋_GB2312"/>
          <w:sz w:val="32"/>
          <w:szCs w:val="32"/>
          <w:lang w:val="en-US" w:eastAsia="zh-CN"/>
        </w:rPr>
        <w:t>320.08</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年相比，财政拨款收、支总计各</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137.89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增涨</w:t>
      </w:r>
      <w:r>
        <w:rPr>
          <w:rFonts w:hint="eastAsia" w:ascii="仿宋_GB2312" w:eastAsia="仿宋_GB2312"/>
          <w:color w:val="000000"/>
          <w:sz w:val="32"/>
          <w:szCs w:val="32"/>
          <w:lang w:val="en-US" w:eastAsia="zh-CN"/>
        </w:rPr>
        <w:t>75.68</w:t>
      </w:r>
      <w:r>
        <w:rPr>
          <w:rFonts w:hint="eastAsia" w:ascii="仿宋_GB2312" w:eastAsia="仿宋_GB2312"/>
          <w:color w:val="000000"/>
          <w:sz w:val="32"/>
          <w:szCs w:val="32"/>
        </w:rPr>
        <w:t>%。</w:t>
      </w:r>
    </w:p>
    <w:p>
      <w:pPr>
        <w:spacing w:line="600" w:lineRule="exact"/>
        <w:ind w:firstLine="640" w:firstLineChars="200"/>
        <w:outlineLvl w:val="1"/>
        <w:rPr>
          <w:rStyle w:val="27"/>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outlineLvl w:val="2"/>
        <w:rPr>
          <w:rFonts w:hint="eastAsia" w:ascii="仿宋_GB2312" w:hAnsi="仿宋" w:eastAsia="仿宋_GB2312"/>
          <w:sz w:val="32"/>
          <w:szCs w:val="32"/>
          <w:lang w:val="en-US" w:eastAsia="zh-CN"/>
        </w:rPr>
      </w:pPr>
      <w:r>
        <w:rPr>
          <w:rFonts w:hint="eastAsia" w:ascii="仿宋" w:hAnsi="仿宋" w:eastAsia="仿宋"/>
          <w:color w:val="000000"/>
          <w:sz w:val="32"/>
          <w:szCs w:val="32"/>
          <w:lang w:eastAsia="zh-CN"/>
        </w:rPr>
        <w:t>2018</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320.08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年相比，</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137.89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增涨</w:t>
      </w:r>
      <w:r>
        <w:rPr>
          <w:rFonts w:hint="eastAsia" w:ascii="仿宋_GB2312" w:eastAsia="仿宋_GB2312"/>
          <w:color w:val="000000"/>
          <w:sz w:val="32"/>
          <w:szCs w:val="32"/>
          <w:lang w:val="en-US" w:eastAsia="zh-CN"/>
        </w:rPr>
        <w:t>75.68</w:t>
      </w:r>
      <w:r>
        <w:rPr>
          <w:rFonts w:hint="eastAsia" w:ascii="仿宋_GB2312" w:eastAsia="仿宋_GB2312"/>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2018年招商引资工作经费增加。</w:t>
      </w:r>
      <w:bookmarkStart w:id="35" w:name="_Toc15377211"/>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2018</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320.08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305.46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95.43</w:t>
      </w:r>
      <w:r>
        <w:rPr>
          <w:rFonts w:hint="eastAsia" w:ascii="仿宋_GB2312" w:eastAsia="仿宋_GB2312"/>
          <w:color w:val="000000"/>
          <w:sz w:val="32"/>
          <w:szCs w:val="32"/>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1.26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0.4</w:t>
      </w:r>
      <w:r>
        <w:rPr>
          <w:rFonts w:hint="eastAsia" w:ascii="仿宋_GB2312" w:eastAsia="仿宋_GB2312"/>
          <w:color w:val="000000"/>
          <w:sz w:val="32"/>
          <w:szCs w:val="32"/>
        </w:rPr>
        <w:t>%；</w:t>
      </w:r>
      <w:r>
        <w:rPr>
          <w:rFonts w:hint="eastAsia" w:ascii="仿宋" w:hAnsi="仿宋" w:eastAsia="仿宋"/>
          <w:b/>
          <w:bCs/>
          <w:color w:val="000000" w:themeColor="text1"/>
          <w:sz w:val="32"/>
          <w:szCs w:val="32"/>
          <w14:textFill>
            <w14:solidFill>
              <w14:schemeClr w14:val="tx1"/>
            </w14:solidFill>
          </w14:textFill>
        </w:rPr>
        <w:t>医疗卫生</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3.66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1.14</w:t>
      </w:r>
      <w:r>
        <w:rPr>
          <w:rFonts w:hint="eastAsia" w:ascii="仿宋_GB2312" w:eastAsia="仿宋_GB2312"/>
          <w:color w:val="000000"/>
          <w:sz w:val="32"/>
          <w:szCs w:val="32"/>
        </w:rPr>
        <w:t>%；住房保障</w:t>
      </w:r>
      <w:r>
        <w:rPr>
          <w:rFonts w:hint="eastAsia" w:ascii="仿宋_GB2312" w:eastAsia="仿宋_GB2312"/>
          <w:color w:val="000000"/>
          <w:sz w:val="32"/>
          <w:szCs w:val="32"/>
          <w:lang w:eastAsia="zh-CN"/>
        </w:rPr>
        <w:t>（类）</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9.7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3.03</w:t>
      </w:r>
      <w:r>
        <w:rPr>
          <w:rFonts w:hint="eastAsia" w:ascii="仿宋_GB2312" w:eastAsia="仿宋_GB2312"/>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lang w:eastAsia="zh-CN"/>
          <w14:textFill>
            <w14:solidFill>
              <w14:schemeClr w14:val="tx1"/>
            </w14:solidFill>
          </w14:textFill>
        </w:rPr>
        <w:t>2018</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color w:val="000000" w:themeColor="text1"/>
          <w:sz w:val="32"/>
          <w:szCs w:val="32"/>
          <w:lang w:val="en-US" w:eastAsia="zh-CN"/>
          <w14:textFill>
            <w14:solidFill>
              <w14:schemeClr w14:val="tx1"/>
            </w14:solidFill>
          </w14:textFill>
        </w:rPr>
        <w:t>320.08</w:t>
      </w:r>
      <w:r>
        <w:rPr>
          <w:rFonts w:hint="eastAsia" w:ascii="仿宋" w:hAnsi="仿宋" w:eastAsia="仿宋"/>
          <w:color w:val="000000" w:themeColor="text1"/>
          <w:sz w:val="32"/>
          <w:szCs w:val="32"/>
          <w14:textFill>
            <w14:solidFill>
              <w14:schemeClr w14:val="tx1"/>
            </w14:solidFill>
          </w14:textFill>
        </w:rPr>
        <w:t>万元，</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商贸事务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114.38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商贸事务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招商引资</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191.08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，决算数等于预算数的主要原因是</w:t>
      </w:r>
      <w:r>
        <w:rPr>
          <w:rStyle w:val="16"/>
          <w:rFonts w:hint="eastAsia" w:ascii="仿宋" w:hAnsi="仿宋" w:eastAsia="仿宋"/>
          <w:b w:val="0"/>
          <w:bCs/>
          <w:color w:val="000000"/>
          <w:sz w:val="32"/>
          <w:szCs w:val="32"/>
          <w:lang w:eastAsia="zh-CN"/>
        </w:rPr>
        <w:t>严格按照预算数执行支出</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教育（类）</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eastAsia" w:ascii="仿宋" w:hAnsi="仿宋" w:eastAsia="仿宋"/>
          <w:bCs/>
          <w:color w:val="000000"/>
          <w:sz w:val="32"/>
          <w:szCs w:val="32"/>
        </w:rPr>
        <w:t>科学技术（类）</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4.</w:t>
      </w:r>
      <w:r>
        <w:rPr>
          <w:rStyle w:val="16"/>
          <w:rFonts w:hint="eastAsia" w:ascii="仿宋" w:hAnsi="仿宋" w:eastAsia="仿宋"/>
          <w:bCs/>
          <w:color w:val="000000"/>
          <w:sz w:val="32"/>
          <w:szCs w:val="32"/>
        </w:rPr>
        <w:t>文化旅游体育与传媒（类）</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5.</w:t>
      </w:r>
      <w:r>
        <w:rPr>
          <w:rStyle w:val="16"/>
          <w:rFonts w:hint="eastAsia" w:ascii="仿宋" w:hAnsi="仿宋" w:eastAsia="仿宋"/>
          <w:bCs/>
          <w:color w:val="000000"/>
          <w:sz w:val="32"/>
          <w:szCs w:val="32"/>
        </w:rPr>
        <w:t>社会保障和就业（类）行政事业单位离退休（款）机关事业单位基本养老保险缴费支出（项）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14.89</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小于</w:t>
      </w:r>
      <w:r>
        <w:rPr>
          <w:rStyle w:val="16"/>
          <w:rFonts w:hint="eastAsia" w:ascii="仿宋" w:hAnsi="仿宋" w:eastAsia="仿宋"/>
          <w:b w:val="0"/>
          <w:bCs/>
          <w:color w:val="000000"/>
          <w:sz w:val="32"/>
          <w:szCs w:val="32"/>
        </w:rPr>
        <w:t>预算数的主要原因是</w:t>
      </w:r>
      <w:r>
        <w:rPr>
          <w:rStyle w:val="16"/>
          <w:rFonts w:hint="eastAsia" w:ascii="仿宋" w:hAnsi="仿宋" w:eastAsia="仿宋"/>
          <w:b w:val="0"/>
          <w:bCs/>
          <w:color w:val="000000"/>
          <w:sz w:val="32"/>
          <w:szCs w:val="32"/>
          <w:lang w:eastAsia="zh-CN"/>
        </w:rPr>
        <w:t>未严格按照预算数执行支出</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6"/>
          <w:rFonts w:hint="eastAsia" w:ascii="仿宋" w:hAnsi="仿宋" w:eastAsia="仿宋"/>
          <w:bCs/>
          <w:color w:val="000000"/>
          <w:sz w:val="32"/>
          <w:szCs w:val="32"/>
        </w:rPr>
        <w:t>（类）行政事业单位医疗（款）行政单位医疗（项）</w:t>
      </w:r>
      <w:r>
        <w:rPr>
          <w:rStyle w:val="16"/>
          <w:rFonts w:ascii="仿宋" w:hAnsi="仿宋" w:eastAsia="仿宋"/>
          <w:bCs/>
          <w:color w:val="000000"/>
          <w:sz w:val="32"/>
          <w:szCs w:val="32"/>
        </w:rPr>
        <w:t>:</w:t>
      </w:r>
      <w:r>
        <w:rPr>
          <w:rStyle w:val="16"/>
          <w:rFonts w:hint="eastAsia" w:ascii="仿宋_GB2312" w:eastAsia="仿宋_GB2312"/>
          <w:b w:val="0"/>
          <w:color w:val="000000"/>
          <w:sz w:val="32"/>
          <w:szCs w:val="32"/>
        </w:rPr>
        <w:t>支出决算为</w:t>
      </w:r>
      <w:r>
        <w:rPr>
          <w:rStyle w:val="16"/>
          <w:rFonts w:hint="eastAsia" w:ascii="仿宋_GB2312" w:eastAsia="仿宋_GB2312"/>
          <w:b w:val="0"/>
          <w:color w:val="000000"/>
          <w:sz w:val="32"/>
          <w:szCs w:val="32"/>
          <w:lang w:val="en-US" w:eastAsia="zh-CN"/>
        </w:rPr>
        <w:t>3.66</w:t>
      </w:r>
      <w:r>
        <w:rPr>
          <w:rStyle w:val="16"/>
          <w:rFonts w:hint="eastAsia" w:ascii="仿宋_GB2312" w:eastAsia="仿宋_GB2312"/>
          <w:b w:val="0"/>
          <w:color w:val="000000"/>
          <w:sz w:val="32"/>
          <w:szCs w:val="32"/>
        </w:rPr>
        <w:t>万元，完成预算</w:t>
      </w:r>
      <w:r>
        <w:rPr>
          <w:rStyle w:val="16"/>
          <w:rFonts w:hint="eastAsia" w:ascii="仿宋_GB2312" w:eastAsia="仿宋_GB2312"/>
          <w:b w:val="0"/>
          <w:color w:val="000000"/>
          <w:sz w:val="32"/>
          <w:szCs w:val="32"/>
          <w:lang w:val="en-US" w:eastAsia="zh-CN"/>
        </w:rPr>
        <w:t>100</w:t>
      </w:r>
      <w:r>
        <w:rPr>
          <w:rStyle w:val="16"/>
          <w:rFonts w:hint="eastAsia" w:ascii="仿宋_GB2312" w:eastAsia="仿宋_GB2312"/>
          <w:b w:val="0"/>
          <w:color w:val="000000"/>
          <w:sz w:val="32"/>
          <w:szCs w:val="32"/>
        </w:rPr>
        <w:t>%</w:t>
      </w:r>
      <w:r>
        <w:rPr>
          <w:rStyle w:val="16"/>
          <w:rFonts w:hint="eastAsia" w:ascii="仿宋" w:hAnsi="仿宋" w:eastAsia="仿宋"/>
          <w:b w:val="0"/>
          <w:bCs/>
          <w:color w:val="000000"/>
          <w:sz w:val="32"/>
          <w:szCs w:val="32"/>
        </w:rPr>
        <w:t>，决算数等于预算数的主要原因是</w:t>
      </w:r>
      <w:r>
        <w:rPr>
          <w:rStyle w:val="16"/>
          <w:rFonts w:hint="eastAsia" w:ascii="仿宋" w:hAnsi="仿宋" w:eastAsia="仿宋"/>
          <w:b w:val="0"/>
          <w:bCs/>
          <w:color w:val="000000"/>
          <w:sz w:val="32"/>
          <w:szCs w:val="32"/>
          <w:lang w:eastAsia="zh-CN"/>
        </w:rPr>
        <w:t>严格按照预算数执行支出</w:t>
      </w:r>
      <w:r>
        <w:rPr>
          <w:rStyle w:val="16"/>
          <w:rFonts w:hint="eastAsia" w:ascii="仿宋" w:hAnsi="仿宋" w:eastAsia="仿宋"/>
          <w:b w:val="0"/>
          <w:bCs/>
          <w:color w:val="000000"/>
          <w:sz w:val="32"/>
          <w:szCs w:val="32"/>
        </w:rPr>
        <w:t>。</w:t>
      </w:r>
    </w:p>
    <w:p>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住房保障支出</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，决算数等于预算数的主要原因是</w:t>
      </w:r>
      <w:r>
        <w:rPr>
          <w:rStyle w:val="16"/>
          <w:rFonts w:hint="eastAsia" w:ascii="仿宋" w:hAnsi="仿宋" w:eastAsia="仿宋"/>
          <w:b w:val="0"/>
          <w:bCs/>
          <w:color w:val="000000"/>
          <w:sz w:val="32"/>
          <w:szCs w:val="32"/>
          <w:lang w:eastAsia="zh-CN"/>
        </w:rPr>
        <w:t>严格按照预算数执行支出</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2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2018</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320.08</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113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16.01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lang w:eastAsia="zh-CN"/>
        </w:rPr>
        <w:t>2018</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105.29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Style w:val="16"/>
          <w:rFonts w:hint="eastAsia" w:ascii="仿宋" w:hAnsi="仿宋" w:eastAsia="仿宋"/>
          <w:b w:val="0"/>
          <w:bCs/>
          <w:color w:val="000000"/>
          <w:sz w:val="32"/>
          <w:szCs w:val="32"/>
          <w:lang w:eastAsia="zh-CN"/>
        </w:rPr>
        <w:t>严格按照预算数执行支出</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2018</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4.74</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val="en-US" w:eastAsia="zh-CN"/>
        </w:rPr>
        <w:t>100.29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95.25</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无增减</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单位无因公出</w:t>
      </w:r>
      <w:r>
        <w:rPr>
          <w:rFonts w:hint="eastAsia" w:ascii="仿宋_GB2312" w:eastAsia="仿宋_GB2312"/>
          <w:color w:val="000000"/>
          <w:sz w:val="32"/>
          <w:szCs w:val="32"/>
        </w:rPr>
        <w:t>国（境）</w:t>
      </w:r>
      <w:r>
        <w:rPr>
          <w:rFonts w:hint="eastAsia" w:ascii="仿宋_GB2312" w:eastAsia="仿宋_GB2312"/>
          <w:color w:val="000000"/>
          <w:sz w:val="32"/>
          <w:szCs w:val="32"/>
          <w:lang w:eastAsia="zh-CN"/>
        </w:rPr>
        <w:t>情况。</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无增减</w:t>
      </w:r>
      <w:r>
        <w:rPr>
          <w:rFonts w:hint="eastAsia" w:ascii="仿宋_GB2312" w:eastAsia="仿宋_GB2312"/>
          <w:color w:val="000000"/>
          <w:sz w:val="32"/>
          <w:szCs w:val="32"/>
          <w:lang w:eastAsia="zh-CN"/>
        </w:rPr>
        <w:t>。</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100.29</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81.64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增涨</w:t>
      </w:r>
      <w:r>
        <w:rPr>
          <w:rFonts w:hint="eastAsia" w:ascii="仿宋_GB2312" w:eastAsia="仿宋_GB2312"/>
          <w:color w:val="000000"/>
          <w:sz w:val="32"/>
          <w:szCs w:val="32"/>
          <w:lang w:val="en-US" w:eastAsia="zh-CN"/>
        </w:rPr>
        <w:t>437.74</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增加招商推介会、东西部扶贫协作会接待费用</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100.29</w:t>
      </w:r>
      <w:r>
        <w:rPr>
          <w:rFonts w:hint="eastAsia" w:ascii="仿宋_GB2312" w:eastAsia="仿宋_GB2312"/>
          <w:color w:val="000000"/>
          <w:sz w:val="32"/>
          <w:szCs w:val="32"/>
        </w:rPr>
        <w:t>万元，主要用于开展</w:t>
      </w:r>
      <w:r>
        <w:rPr>
          <w:rFonts w:hint="eastAsia" w:ascii="仿宋_GB2312" w:eastAsia="仿宋_GB2312"/>
          <w:color w:val="000000"/>
          <w:sz w:val="32"/>
          <w:szCs w:val="32"/>
          <w:lang w:eastAsia="zh-CN"/>
        </w:rPr>
        <w:t>招商引资</w:t>
      </w:r>
      <w:r>
        <w:rPr>
          <w:rFonts w:hint="eastAsia" w:ascii="仿宋_GB2312" w:eastAsia="仿宋_GB2312"/>
          <w:color w:val="000000"/>
          <w:sz w:val="32"/>
          <w:szCs w:val="32"/>
        </w:rPr>
        <w:t>业务活动开支的交通费、住宿费、用餐费等。国内公务接待</w:t>
      </w:r>
      <w:r>
        <w:rPr>
          <w:rFonts w:hint="eastAsia" w:ascii="仿宋_GB2312" w:eastAsia="仿宋_GB2312"/>
          <w:color w:val="000000"/>
          <w:sz w:val="32"/>
          <w:szCs w:val="32"/>
          <w:lang w:val="en-US" w:eastAsia="zh-CN"/>
        </w:rPr>
        <w:t>527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2957</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100.29</w:t>
      </w:r>
      <w:r>
        <w:rPr>
          <w:rFonts w:hint="eastAsia" w:ascii="仿宋_GB2312" w:eastAsia="仿宋_GB2312"/>
          <w:color w:val="000000"/>
          <w:sz w:val="32"/>
          <w:szCs w:val="32"/>
        </w:rPr>
        <w:t>万元。</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bookmarkStart w:id="46" w:name="_Toc15396610"/>
      <w:bookmarkStart w:id="47" w:name="_Toc15377218"/>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2018</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color w:val="000000"/>
          <w:sz w:val="32"/>
          <w:szCs w:val="32"/>
          <w:lang w:eastAsia="zh-CN"/>
        </w:rPr>
        <w:t>2018</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sz w:val="32"/>
          <w:szCs w:val="32"/>
          <w:lang w:eastAsia="zh-CN"/>
        </w:rPr>
        <w:t>2018</w:t>
      </w:r>
      <w:r>
        <w:rPr>
          <w:rFonts w:hint="eastAsia" w:ascii="仿宋_GB2312" w:eastAsia="仿宋_GB2312"/>
          <w:color w:val="000000"/>
          <w:sz w:val="32"/>
          <w:szCs w:val="32"/>
        </w:rPr>
        <w:t>年，机关运行经费支出</w:t>
      </w:r>
      <w:r>
        <w:rPr>
          <w:rFonts w:hint="eastAsia" w:ascii="仿宋_GB2312" w:eastAsia="仿宋_GB2312"/>
          <w:color w:val="000000"/>
          <w:sz w:val="32"/>
          <w:szCs w:val="32"/>
          <w:lang w:val="en-US" w:eastAsia="zh-CN"/>
        </w:rPr>
        <w:t>11.14</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1.82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19.53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工资调整。</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2018</w:t>
      </w:r>
      <w:r>
        <w:rPr>
          <w:rFonts w:hint="eastAsia" w:ascii="仿宋_GB2312" w:eastAsia="仿宋_GB2312"/>
          <w:color w:val="000000"/>
          <w:sz w:val="32"/>
          <w:szCs w:val="32"/>
        </w:rPr>
        <w:t>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val="en-US" w:eastAsia="zh-CN"/>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招商引资</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年部门整体支出开展绩效自评，从评价情况来看财政资金预算配置合理合规，预算执行严格有序，预算管理规范可控，资金效益合乎预期。本部门还自行组织了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（招商引资）</w:t>
      </w:r>
      <w:r>
        <w:rPr>
          <w:rFonts w:hint="eastAsia" w:ascii="仿宋_GB2312" w:hAnsi="仿宋_GB2312" w:eastAsia="仿宋_GB2312" w:cs="仿宋_GB2312"/>
          <w:sz w:val="32"/>
          <w:szCs w:val="32"/>
        </w:rPr>
        <w:t>支出绩效评价，从评价情况来看</w:t>
      </w:r>
      <w:r>
        <w:rPr>
          <w:rFonts w:hint="eastAsia" w:ascii="仿宋_GB2312" w:hAnsi="仿宋_GB2312" w:eastAsia="仿宋_GB2312" w:cs="仿宋_GB2312"/>
          <w:sz w:val="32"/>
          <w:szCs w:val="32"/>
          <w:lang w:eastAsia="zh-CN"/>
        </w:rPr>
        <w:t>项目预算经费</w:t>
      </w:r>
      <w:r>
        <w:rPr>
          <w:rFonts w:hint="eastAsia" w:ascii="仿宋_GB2312" w:hAnsi="仿宋_GB2312" w:eastAsia="仿宋_GB2312" w:cs="仿宋_GB2312"/>
          <w:sz w:val="32"/>
          <w:szCs w:val="32"/>
          <w:lang w:val="en-US" w:eastAsia="zh-CN"/>
        </w:rPr>
        <w:t>250万元，由于本单位严控经费，项目支出决算数为119.08万元。</w:t>
      </w:r>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年度部门决算</w:t>
      </w:r>
      <w:r>
        <w:rPr>
          <w:rFonts w:hint="eastAsia" w:ascii="仿宋_GB2312" w:hAnsi="仿宋_GB2312" w:eastAsia="仿宋_GB2312" w:cs="仿宋_GB2312"/>
          <w:sz w:val="32"/>
          <w:szCs w:val="32"/>
          <w:lang w:eastAsia="zh-CN"/>
        </w:rPr>
        <w:t>只有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招商引资</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目标实际完成情况</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119.08</w:t>
      </w:r>
      <w:r>
        <w:rPr>
          <w:rFonts w:hint="eastAsia" w:ascii="仿宋_GB2312" w:hAnsi="仿宋_GB2312" w:eastAsia="仿宋_GB2312" w:cs="仿宋_GB2312"/>
          <w:sz w:val="32"/>
          <w:szCs w:val="32"/>
        </w:rPr>
        <w:t>元，完成预算的</w:t>
      </w:r>
      <w:r>
        <w:rPr>
          <w:rFonts w:hint="eastAsia" w:ascii="仿宋_GB2312" w:hAnsi="仿宋_GB2312" w:eastAsia="仿宋_GB2312" w:cs="仿宋_GB2312"/>
          <w:sz w:val="32"/>
          <w:szCs w:val="32"/>
          <w:lang w:val="en-US" w:eastAsia="zh-CN"/>
        </w:rPr>
        <w:t>47.63</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全县招商引资工作完成，促进全县经济发展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2018年共引进到位市外国内121.49亿元，占市下目标任务的105.64%。</w:t>
      </w:r>
    </w:p>
    <w:p>
      <w:pPr>
        <w:spacing w:line="580" w:lineRule="exact"/>
        <w:ind w:firstLine="640" w:firstLineChars="200"/>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2018</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招商引资</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投资服务局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119.08万元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119.08万元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完成市下招商引资工作任务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7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73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77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83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78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692"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完成市下招商引资工作任务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bl>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投资服务局</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left="638" w:leftChars="304" w:firstLine="0" w:firstLineChars="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商贸事务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单位日常工作经费</w:t>
      </w:r>
      <w:r>
        <w:rPr>
          <w:rFonts w:hint="eastAsia" w:ascii="仿宋_GB2312" w:eastAsia="仿宋_GB2312"/>
          <w:color w:val="000000"/>
          <w:sz w:val="32"/>
          <w:szCs w:val="32"/>
        </w:rPr>
        <w:t>。</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商贸事务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招商引资</w:t>
      </w:r>
      <w:r>
        <w:rPr>
          <w:rStyle w:val="16"/>
          <w:rFonts w:hint="eastAsia" w:ascii="仿宋" w:hAnsi="仿宋" w:eastAsia="仿宋"/>
          <w:bCs/>
          <w:color w:val="000000"/>
          <w:sz w:val="32"/>
          <w:szCs w:val="32"/>
        </w:rPr>
        <w:t>（项）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开展招商引资工作经费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社会保障和就业（类）行政事业单位离退休（款）机关事业单位基本养老保险缴费支出（项）指</w:t>
      </w:r>
      <w:r>
        <w:rPr>
          <w:rFonts w:hint="eastAsia" w:ascii="仿宋_GB2312" w:eastAsia="仿宋_GB2312"/>
          <w:color w:val="000000"/>
          <w:sz w:val="32"/>
          <w:szCs w:val="32"/>
          <w:lang w:eastAsia="zh-CN"/>
        </w:rPr>
        <w:t>养老保险等</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16.卫生健康（类）行政事业单位医疗（款）行政单位医疗（项）：指</w:t>
      </w:r>
      <w:r>
        <w:rPr>
          <w:rFonts w:hint="eastAsia" w:ascii="仿宋_GB2312" w:eastAsia="仿宋_GB2312"/>
          <w:color w:val="000000"/>
          <w:sz w:val="32"/>
          <w:szCs w:val="32"/>
          <w:lang w:eastAsia="zh-CN"/>
        </w:rPr>
        <w:t>医疗保险等费用</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 w:hAnsi="仿宋" w:eastAsia="仿宋"/>
          <w:b/>
          <w:bCs/>
          <w:color w:val="000000" w:themeColor="text1"/>
          <w:sz w:val="32"/>
          <w:szCs w:val="32"/>
          <w14:textFill>
            <w14:solidFill>
              <w14:schemeClr w14:val="tx1"/>
            </w14:solidFill>
          </w14:textFill>
        </w:rPr>
        <w:t>住房保障支出</w:t>
      </w:r>
      <w:r>
        <w:rPr>
          <w:rStyle w:val="16"/>
          <w:rFonts w:hint="eastAsia" w:ascii="仿宋" w:hAnsi="仿宋" w:eastAsia="仿宋"/>
          <w:bCs/>
          <w:color w:val="000000"/>
          <w:sz w:val="32"/>
          <w:szCs w:val="32"/>
        </w:rPr>
        <w:t>（类）住房改革支出（款）住房公积金（项）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住房公积金经费</w:t>
      </w:r>
      <w:r>
        <w:rPr>
          <w:rStyle w:val="16"/>
          <w:rFonts w:hint="eastAsia" w:ascii="仿宋" w:hAnsi="仿宋" w:eastAsia="仿宋"/>
          <w:b w:val="0"/>
          <w:bCs/>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hint="eastAsia" w:ascii="仿宋" w:hAnsi="仿宋" w:eastAsia="仿宋"/>
          <w:b/>
          <w:color w:val="000000"/>
          <w:sz w:val="32"/>
          <w:szCs w:val="32"/>
          <w:lang w:eastAsia="zh-CN"/>
        </w:rPr>
        <w:t>2018</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投资服务局2018</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olor w:val="000000"/>
          <w:sz w:val="32"/>
          <w:szCs w:val="32"/>
          <w:lang w:val="en-US" w:eastAsia="zh-CN"/>
        </w:rPr>
        <w:t>投资服务局是参照公务员法管理的正科级事业单位，核定人员编制为7人，下设办公室和统计股。</w:t>
      </w:r>
      <w:r>
        <w:rPr>
          <w:rFonts w:hint="eastAsia" w:ascii="仿宋" w:hAnsi="仿宋" w:eastAsia="仿宋"/>
          <w:color w:val="000000"/>
          <w:sz w:val="32"/>
          <w:szCs w:val="32"/>
          <w:lang w:eastAsia="zh-CN"/>
        </w:rPr>
        <w:t>无</w:t>
      </w:r>
      <w:r>
        <w:rPr>
          <w:rFonts w:hint="eastAsia" w:ascii="仿宋" w:hAnsi="仿宋" w:eastAsia="仿宋"/>
          <w:color w:val="000000"/>
          <w:sz w:val="32"/>
          <w:szCs w:val="32"/>
        </w:rPr>
        <w:t>纳入</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年度部门决算编制范围的二级预算单位</w:t>
      </w:r>
      <w:r>
        <w:rPr>
          <w:rFonts w:hint="eastAsia" w:ascii="仿宋" w:hAnsi="仿宋" w:eastAsia="仿宋"/>
          <w:color w:val="000000"/>
          <w:sz w:val="32"/>
          <w:szCs w:val="32"/>
          <w:lang w:eastAsia="zh-CN"/>
        </w:rPr>
        <w:t>。</w:t>
      </w:r>
    </w:p>
    <w:p>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贯彻执行中央、省、市扩大开放、投资促进、招商引资的方针政策，负责全县投资促进和招商引资的具体政策、措施、规划、年度计划的制定、执行、监督和落实;负责全县投资促进相关工作的统筹组织，指导并督查全县各乡镇、各有关部门投资促进工作;负责建立和完善招商项目库,牵头负责全县招商引资项目的包装、信息发布及对外宣传工作;承办全县重大招商引资活动；负责全县重点、重大项目的招商引资跟踪促进和统筹协调工作;为外来投资者代办投资相关手续，协调解决投资者反映的重要问题;负责县招商引资指标运行的统计、分析、上报工作;为投资者提供咨询服务。负责外地驻蔺办事机构设立的接洽工作;完成县委、县政府交办的其他工作。</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p>
    <w:p>
      <w:pPr>
        <w:widowControl/>
        <w:numPr>
          <w:ilvl w:val="0"/>
          <w:numId w:val="4"/>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pStyle w:val="5"/>
        <w:pageBreakBefore w:val="0"/>
        <w:widowControl w:val="0"/>
        <w:numPr>
          <w:ilvl w:val="0"/>
          <w:numId w:val="0"/>
        </w:numPr>
        <w:kinsoku/>
        <w:wordWrap/>
        <w:overflowPunct/>
        <w:topLinePunct w:val="0"/>
        <w:autoSpaceDE/>
        <w:autoSpaceDN/>
        <w:bidi w:val="0"/>
        <w:adjustRightInd w:val="0"/>
        <w:snapToGrid w:val="0"/>
        <w:spacing w:before="93" w:line="500" w:lineRule="exact"/>
        <w:ind w:firstLine="640" w:firstLineChars="200"/>
        <w:textAlignment w:val="auto"/>
        <w:outlineLvl w:val="2"/>
        <w:rPr>
          <w:rFonts w:hint="default" w:ascii="仿宋_GB2312" w:hAnsi="宋体" w:eastAsia="仿宋_GB2312" w:cs="宋体"/>
          <w:color w:val="000000"/>
          <w:kern w:val="0"/>
          <w:sz w:val="32"/>
          <w:szCs w:val="32"/>
          <w:shd w:val="clear" w:color="auto" w:fill="FFFFFF"/>
          <w:lang w:val="en-US" w:eastAsia="zh-CN"/>
        </w:rPr>
      </w:pPr>
      <w:r>
        <w:rPr>
          <w:rFonts w:hint="eastAsia" w:ascii="仿宋" w:hAnsi="仿宋" w:eastAsia="仿宋"/>
          <w:color w:val="000000"/>
          <w:sz w:val="32"/>
          <w:szCs w:val="32"/>
          <w:lang w:val="en-US" w:eastAsia="zh-CN"/>
        </w:rPr>
        <w:t>2018年机构人员年末实有在职人员7人，无临聘人员和借用人员。</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2018年收入财政拨款320.08万元。</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2018年支出320.08万元。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年初预算部门绩效目标严格按照相关工作经费及长效项目预算经费制定，全年按照绩效目标完成相关工作，预算编制准确，在实际工作中严控支出，根据实际工作需要进行预算动态调整，按工作进行进度执行支出，使预算调整数与支出数一致，无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对绩效自评公开，未收到对评价结果反馈的意见建议。</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2018年部门整体支出绩效自评结果显示，我单位绩效管理情况较为理想，达到了年初设定的各项绩效目标。所有资金使用严格按审批程序办理、操作规范，会计核算结果真实、准确，各项支出严格按照各项制度执行。</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内控制度需进一步完善，随着资金管理改革的进一步推进，我单位内部机构进行了相应的优化，建立健全了财务管理制度、固定资产管理制度、费用报销规程等制度，但仍需进一步强化财务约束监督体制。</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 1、科学合理编制预算，严格执行预算。进一步提高预算编制到位率，做准做全基本支出预算，做全项目支出预算，加强预算支出的审核、跟踪及预算执行情况分析，提高预算编制严谨性和可控性。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2、进一步加强项目资金管理。严格实行项目管理程序化，实现项目申报、实施、拨付、评价全流程监督与控制，规范专项资金管理，提高专项资金的使用效益。</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3、进一步完善内部管理制度，提升管理效能，更好地履行生态文明建设职能。</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3"/>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9C126ED"/>
    <w:multiLevelType w:val="singleLevel"/>
    <w:tmpl w:val="D9C126ED"/>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C8211C0"/>
    <w:multiLevelType w:val="singleLevel"/>
    <w:tmpl w:val="3C8211C0"/>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2FFF3D30"/>
    <w:rsid w:val="319F7F4E"/>
    <w:rsid w:val="4E8745FA"/>
    <w:rsid w:val="4ECE2238"/>
    <w:rsid w:val="522764FC"/>
    <w:rsid w:val="72734D90"/>
    <w:rsid w:val="7C3B6BD5"/>
    <w:rsid w:val="7E034F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spacing w:line="560" w:lineRule="exact"/>
      <w:ind w:firstLine="633" w:firstLineChars="204"/>
    </w:pPr>
    <w:rPr>
      <w:rFonts w:ascii="仿宋_GB2312" w:eastAsia="仿宋_GB2312"/>
      <w:sz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4</TotalTime>
  <ScaleCrop>false</ScaleCrop>
  <LinksUpToDate>false</LinksUpToDate>
  <CharactersWithSpaces>8536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姚</cp:lastModifiedBy>
  <cp:lastPrinted>2020-07-23T02:58:00Z</cp:lastPrinted>
  <dcterms:modified xsi:type="dcterms:W3CDTF">2021-06-15T06:03:42Z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BC6F1C83163B40F7A2C9826CF8D02322</vt:lpwstr>
  </property>
</Properties>
</file>