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194"/>
      <w:bookmarkStart w:id="7" w:name="_Toc15377426"/>
      <w:bookmarkStart w:id="8" w:name="_Toc15396476"/>
      <w:bookmarkStart w:id="9" w:name="_Toc15378442"/>
      <w:bookmarkStart w:id="10" w:name="_Toc15396598"/>
      <w:bookmarkStart w:id="11" w:name="_Toc15306268"/>
      <w:r>
        <w:rPr>
          <w:rFonts w:hint="eastAsia" w:ascii="方正小标宋简体" w:hAnsi="宋体" w:eastAsia="方正小标宋简体"/>
          <w:color w:val="000000"/>
          <w:sz w:val="72"/>
          <w:szCs w:val="72"/>
          <w:lang w:eastAsia="zh-CN"/>
        </w:rPr>
        <w:t>古蔺县投资服务局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w:t>
      </w:r>
      <w:r>
        <w:rPr>
          <w:rFonts w:hint="eastAsia"/>
          <w:lang w:val="en-US" w:eastAsia="zh-CN"/>
        </w:rPr>
        <w:t>8</w:t>
      </w:r>
      <w:r>
        <w:rPr>
          <w:rFonts w:hint="eastAsia"/>
        </w:rPr>
        <w:t>月</w:t>
      </w:r>
      <w:r>
        <w:rPr>
          <w:rFonts w:hint="eastAsia"/>
          <w:lang w:val="en-US" w:eastAsia="zh-CN"/>
        </w:rPr>
        <w:t>2</w:t>
      </w:r>
      <w:r>
        <w:rPr>
          <w:rFonts w:hint="eastAsia"/>
        </w:rPr>
        <w:t>3日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p>
    <w:p>
      <w:pPr>
        <w:pStyle w:val="12"/>
        <w:adjustRightInd w:val="0"/>
        <w:snapToGrid w:val="0"/>
        <w:spacing w:line="440" w:lineRule="exact"/>
        <w:jc w:val="left"/>
        <w:rPr>
          <w:rFonts w:ascii="仿宋" w:hAnsi="仿宋" w:eastAsia="仿宋" w:cstheme="minorBidi"/>
          <w:sz w:val="24"/>
        </w:rPr>
      </w:pPr>
      <w:r>
        <w:rPr>
          <w:rFonts w:hint="eastAsia"/>
          <w:sz w:val="24"/>
        </w:rPr>
        <w:t>二、机构设置</w:t>
      </w:r>
      <w:bookmarkStart w:id="73" w:name="_GoBack"/>
      <w:bookmarkEnd w:id="73"/>
    </w:p>
    <w:p>
      <w:pPr>
        <w:pStyle w:val="11"/>
        <w:adjustRightInd w:val="0"/>
        <w:snapToGrid w:val="0"/>
        <w:spacing w:before="0" w:line="440" w:lineRule="exact"/>
        <w:jc w:val="left"/>
        <w:rPr>
          <w:sz w:val="24"/>
          <w:szCs w:val="24"/>
        </w:rPr>
      </w:pPr>
      <w:r>
        <w:rPr>
          <w:rFonts w:hint="eastAsia"/>
          <w:sz w:val="24"/>
        </w:rPr>
        <w:t>第二部分度部门决算情况说明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7"/>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pStyle w:val="3"/>
        <w:pageBreakBefore w:val="0"/>
        <w:widowControl w:val="0"/>
        <w:kinsoku/>
        <w:wordWrap/>
        <w:overflowPunct/>
        <w:topLinePunct w:val="0"/>
        <w:autoSpaceDE/>
        <w:autoSpaceDN/>
        <w:bidi w:val="0"/>
        <w:spacing w:line="500" w:lineRule="exact"/>
        <w:textAlignment w:val="auto"/>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贯彻执行中央、省、市扩大开放、投资促进、招商引资的方针政策，负责全县投资促进和招商引资的具体政策、措施、规划、年度计划的制定、执行、监督和落实;负责全县投资促进相关工作的统筹组织，指导并督查全县各乡镇、各有关部门投资促进工作;负责建立和完善招商项目库,牵头负责全县招商引资项目的包装、信息发布及对外宣传工作;承办全县重大招商引资活动；负责全县重点、重大项目的招商引资跟踪促进和统筹协调工作;为外来投资者代办投资相关手续，协调解决投资者反映的重要问题;负责县招商引资指标运行的统计、分析、上报工作;为投资者提供咨询服务。负责外地驻蔺办事机构设立的接洽工作;完成县委、县政府交办的其他工作。</w:t>
      </w:r>
    </w:p>
    <w:p>
      <w:pPr>
        <w:pStyle w:val="5"/>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2019年共引进到位省外国内资金32.19亿元，同比增长13.47%；全年共签约项目50个，签约金额共计130亿元。</w:t>
      </w:r>
    </w:p>
    <w:p>
      <w:pPr>
        <w:pStyle w:val="3"/>
        <w:pageBreakBefore w:val="0"/>
        <w:widowControl w:val="0"/>
        <w:kinsoku/>
        <w:wordWrap/>
        <w:overflowPunct/>
        <w:topLinePunct w:val="0"/>
        <w:autoSpaceDE/>
        <w:autoSpaceDN/>
        <w:bidi w:val="0"/>
        <w:spacing w:line="500" w:lineRule="exact"/>
        <w:textAlignment w:val="auto"/>
        <w:rPr>
          <w:rStyle w:val="2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投资服务局是参照公务员法管理的事业单位，核定人员编制为7人，实有在职人员6人，无临聘人员和借用人员，无退休职工，2019年机构人员年末数减少1人。</w:t>
      </w:r>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无</w:t>
      </w:r>
      <w:r>
        <w:rPr>
          <w:rFonts w:hint="eastAsia" w:ascii="仿宋" w:hAnsi="仿宋" w:eastAsia="仿宋"/>
          <w:color w:val="000000"/>
          <w:sz w:val="32"/>
          <w:szCs w:val="32"/>
        </w:rPr>
        <w:t>纳入2019年度部门决算编制范围的二级预算单位</w:t>
      </w:r>
      <w:r>
        <w:rPr>
          <w:rFonts w:hint="eastAsia" w:ascii="仿宋" w:hAnsi="仿宋" w:eastAsia="仿宋"/>
          <w:color w:val="000000"/>
          <w:sz w:val="32"/>
          <w:szCs w:val="32"/>
          <w:lang w:eastAsia="zh-CN"/>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napToGrid w:val="0"/>
        <w:spacing w:line="520" w:lineRule="exact"/>
        <w:ind w:firstLine="640" w:firstLineChars="200"/>
        <w:rPr>
          <w:rFonts w:ascii="仿宋_GB2312" w:eastAsia="仿宋_GB2312"/>
          <w:color w:val="000000"/>
          <w:sz w:val="32"/>
          <w:szCs w:val="32"/>
        </w:rPr>
      </w:pPr>
      <w:r>
        <w:rPr>
          <w:rFonts w:hint="eastAsia" w:ascii="仿宋_GB2312" w:hAnsi="仿宋" w:eastAsia="仿宋_GB2312"/>
          <w:sz w:val="32"/>
          <w:szCs w:val="32"/>
          <w:lang w:val="en-US" w:eastAsia="zh-CN"/>
        </w:rPr>
        <w:t>2019年投资服务局收入总额为200.22万元，其中：当年财政拨款收入200.22万元。其中：一般公共服务186.46万元，医疗卫生3.18万元，住房保障支出5.45万元，养老保险5.13万元。支出200.22万元，主要用于单位行政运行及业务工作开展。</w:t>
      </w:r>
      <w:r>
        <w:rPr>
          <w:rFonts w:hint="eastAsia" w:ascii="仿宋_GB2312" w:hAnsi="仿宋" w:eastAsia="仿宋_GB2312"/>
          <w:sz w:val="32"/>
          <w:szCs w:val="32"/>
        </w:rPr>
        <w:t>与上年对比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120.97万元，主要原因是2019年招商引资工作经费减少。</w:t>
      </w:r>
    </w:p>
    <w:p>
      <w:pPr>
        <w:pStyle w:val="25"/>
        <w:numPr>
          <w:ilvl w:val="0"/>
          <w:numId w:val="1"/>
        </w:numPr>
        <w:spacing w:line="600" w:lineRule="exact"/>
        <w:ind w:firstLineChars="0"/>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_GB2312" w:hAnsi="仿宋" w:eastAsia="仿宋_GB2312"/>
          <w:sz w:val="32"/>
          <w:szCs w:val="32"/>
          <w:lang w:val="en-US" w:eastAsia="zh-CN"/>
        </w:rPr>
        <w:t>200.22</w:t>
      </w:r>
      <w:r>
        <w:rPr>
          <w:rFonts w:hint="eastAsia" w:ascii="仿宋" w:hAnsi="仿宋" w:eastAsia="仿宋"/>
          <w:color w:val="000000"/>
          <w:sz w:val="32"/>
          <w:szCs w:val="32"/>
        </w:rPr>
        <w:t>万元，其中：一般公共预算财政拨款收入</w:t>
      </w:r>
      <w:r>
        <w:rPr>
          <w:rFonts w:hint="eastAsia" w:ascii="仿宋_GB2312" w:hAnsi="仿宋" w:eastAsia="仿宋_GB2312"/>
          <w:sz w:val="32"/>
          <w:szCs w:val="32"/>
          <w:lang w:val="en-US" w:eastAsia="zh-CN"/>
        </w:rPr>
        <w:t>200.22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5"/>
        <w:numPr>
          <w:ilvl w:val="0"/>
          <w:numId w:val="1"/>
        </w:numPr>
        <w:spacing w:line="60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hAnsi="仿宋" w:eastAsia="仿宋_GB2312"/>
          <w:sz w:val="32"/>
          <w:szCs w:val="32"/>
          <w:lang w:val="en-US" w:eastAsia="zh-CN"/>
        </w:rPr>
        <w:t>200.22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93.66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46.78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106.56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53.22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200.22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120.97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37.67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2019年招商引资工作经费减少。</w:t>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outlineLvl w:val="2"/>
        <w:rPr>
          <w:rFonts w:hint="eastAsia" w:ascii="仿宋_GB2312" w:hAnsi="仿宋" w:eastAsia="仿宋_GB2312"/>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200.22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120.97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37.67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2019年招商引资工作经费减少。</w:t>
      </w:r>
      <w:bookmarkStart w:id="35" w:name="_Toc15377211"/>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200.22</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186.46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93.13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5.13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2.56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3.18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1.59</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5.45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2.72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2019年般公共预算支出决算数为</w:t>
      </w:r>
      <w:r>
        <w:rPr>
          <w:rFonts w:hint="eastAsia" w:ascii="仿宋" w:hAnsi="仿宋" w:eastAsia="仿宋"/>
          <w:color w:val="000000" w:themeColor="text1"/>
          <w:sz w:val="32"/>
          <w:szCs w:val="32"/>
          <w:lang w:val="en-US" w:eastAsia="zh-CN"/>
        </w:rPr>
        <w:t>200.22</w:t>
      </w:r>
      <w:r>
        <w:rPr>
          <w:rFonts w:hint="eastAsia" w:ascii="仿宋" w:hAnsi="仿宋" w:eastAsia="仿宋"/>
          <w:color w:val="000000" w:themeColor="text1"/>
          <w:sz w:val="32"/>
          <w:szCs w:val="32"/>
        </w:rPr>
        <w:t>万元，</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商贸事务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79.89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商贸事务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招商引资</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106.56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，决算数等于预算数的主要原因是</w:t>
      </w:r>
      <w:r>
        <w:rPr>
          <w:rStyle w:val="16"/>
          <w:rFonts w:hint="eastAsia" w:ascii="仿宋" w:hAnsi="仿宋" w:eastAsia="仿宋"/>
          <w:b w:val="0"/>
          <w:bCs/>
          <w:color w:val="000000"/>
          <w:sz w:val="32"/>
          <w:szCs w:val="32"/>
          <w:lang w:eastAsia="zh-CN"/>
        </w:rPr>
        <w:t>严格按照预算数执行支出</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教育（类）</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eastAsia" w:ascii="仿宋" w:hAnsi="仿宋" w:eastAsia="仿宋"/>
          <w:bCs/>
          <w:color w:val="000000"/>
          <w:sz w:val="32"/>
          <w:szCs w:val="32"/>
        </w:rPr>
        <w:t>科学技术（类）</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4.</w:t>
      </w:r>
      <w:r>
        <w:rPr>
          <w:rStyle w:val="16"/>
          <w:rFonts w:hint="eastAsia" w:ascii="仿宋" w:hAnsi="仿宋" w:eastAsia="仿宋"/>
          <w:bCs/>
          <w:color w:val="000000"/>
          <w:sz w:val="32"/>
          <w:szCs w:val="32"/>
        </w:rPr>
        <w:t>文化旅游体育与传媒（类）</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5.</w:t>
      </w:r>
      <w:r>
        <w:rPr>
          <w:rStyle w:val="16"/>
          <w:rFonts w:hint="eastAsia" w:ascii="仿宋" w:hAnsi="仿宋" w:eastAsia="仿宋"/>
          <w:bCs/>
          <w:color w:val="000000"/>
          <w:sz w:val="32"/>
          <w:szCs w:val="32"/>
        </w:rPr>
        <w:t>社会保障和就业（类）行政事业单位离退休（款）机关事业单位基本养老保险缴费支出（项）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5.13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，决算数等于预算数的主要原因是</w:t>
      </w:r>
      <w:r>
        <w:rPr>
          <w:rStyle w:val="16"/>
          <w:rFonts w:hint="eastAsia" w:ascii="仿宋" w:hAnsi="仿宋" w:eastAsia="仿宋"/>
          <w:b w:val="0"/>
          <w:bCs/>
          <w:color w:val="000000"/>
          <w:sz w:val="32"/>
          <w:szCs w:val="32"/>
          <w:lang w:eastAsia="zh-CN"/>
        </w:rPr>
        <w:t>严格按照预算数执行支出</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6"/>
          <w:rFonts w:hint="eastAsia" w:ascii="仿宋" w:hAnsi="仿宋" w:eastAsia="仿宋"/>
          <w:bCs/>
          <w:color w:val="000000"/>
          <w:sz w:val="32"/>
          <w:szCs w:val="32"/>
        </w:rPr>
        <w:t>（类）行政事业单位医疗（款）行政单位医疗（项）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3.18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，决算数等于预算数的主要原因是</w:t>
      </w:r>
      <w:r>
        <w:rPr>
          <w:rStyle w:val="16"/>
          <w:rFonts w:hint="eastAsia" w:ascii="仿宋" w:hAnsi="仿宋" w:eastAsia="仿宋"/>
          <w:b w:val="0"/>
          <w:bCs/>
          <w:color w:val="000000"/>
          <w:sz w:val="32"/>
          <w:szCs w:val="32"/>
          <w:lang w:eastAsia="zh-CN"/>
        </w:rPr>
        <w:t>严格按照预算数执行支出</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Fonts w:hint="eastAsia" w:ascii="仿宋" w:hAnsi="仿宋" w:eastAsia="仿宋"/>
          <w:b/>
          <w:bCs/>
          <w:color w:val="000000" w:themeColor="text1"/>
          <w:sz w:val="32"/>
          <w:szCs w:val="32"/>
        </w:rPr>
        <w:t>住房保障支出</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5.46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，决算数等于预算数的主要原因是</w:t>
      </w:r>
      <w:r>
        <w:rPr>
          <w:rStyle w:val="16"/>
          <w:rFonts w:hint="eastAsia" w:ascii="仿宋" w:hAnsi="仿宋" w:eastAsia="仿宋"/>
          <w:b w:val="0"/>
          <w:bCs/>
          <w:color w:val="000000"/>
          <w:sz w:val="32"/>
          <w:szCs w:val="32"/>
          <w:lang w:eastAsia="zh-CN"/>
        </w:rPr>
        <w:t>严格按照预算数执行支出</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93.66</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82.82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10.84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80.34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Style w:val="16"/>
          <w:rFonts w:hint="eastAsia" w:ascii="仿宋" w:hAnsi="仿宋" w:eastAsia="仿宋"/>
          <w:b w:val="0"/>
          <w:bCs/>
          <w:color w:val="000000"/>
          <w:sz w:val="32"/>
          <w:szCs w:val="32"/>
          <w:lang w:eastAsia="zh-CN"/>
        </w:rPr>
        <w:t>严格按照预算数执行支出</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80.34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无增减</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单位无因公出</w:t>
      </w:r>
      <w:r>
        <w:rPr>
          <w:rFonts w:hint="eastAsia" w:ascii="仿宋_GB2312" w:eastAsia="仿宋_GB2312"/>
          <w:color w:val="000000"/>
          <w:sz w:val="32"/>
          <w:szCs w:val="32"/>
        </w:rPr>
        <w:t>国（境）</w:t>
      </w:r>
      <w:r>
        <w:rPr>
          <w:rFonts w:hint="eastAsia" w:ascii="仿宋_GB2312" w:eastAsia="仿宋_GB2312"/>
          <w:color w:val="000000"/>
          <w:sz w:val="32"/>
          <w:szCs w:val="32"/>
          <w:lang w:eastAsia="zh-CN"/>
        </w:rPr>
        <w:t>情况。</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公务用车费用由机关事务局列支。</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80.34</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19.95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19.89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公务接待次数减少。</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80.34</w:t>
      </w:r>
      <w:r>
        <w:rPr>
          <w:rFonts w:hint="eastAsia" w:ascii="仿宋_GB2312" w:eastAsia="仿宋_GB2312"/>
          <w:color w:val="000000"/>
          <w:sz w:val="32"/>
          <w:szCs w:val="32"/>
        </w:rPr>
        <w:t>万元，主要用于开展</w:t>
      </w:r>
      <w:r>
        <w:rPr>
          <w:rFonts w:hint="eastAsia" w:ascii="仿宋_GB2312" w:eastAsia="仿宋_GB2312"/>
          <w:color w:val="000000"/>
          <w:sz w:val="32"/>
          <w:szCs w:val="32"/>
          <w:lang w:eastAsia="zh-CN"/>
        </w:rPr>
        <w:t>招商引资</w:t>
      </w:r>
      <w:r>
        <w:rPr>
          <w:rFonts w:hint="eastAsia" w:ascii="仿宋_GB2312" w:eastAsia="仿宋_GB2312"/>
          <w:color w:val="000000"/>
          <w:sz w:val="32"/>
          <w:szCs w:val="32"/>
        </w:rPr>
        <w:t>业务活动开支的交通费、住宿费、用餐费等。国内公务接待</w:t>
      </w:r>
      <w:r>
        <w:rPr>
          <w:rFonts w:hint="eastAsia" w:ascii="仿宋_GB2312" w:eastAsia="仿宋_GB2312"/>
          <w:color w:val="000000"/>
          <w:sz w:val="32"/>
          <w:szCs w:val="32"/>
          <w:lang w:val="en-US" w:eastAsia="zh-CN"/>
        </w:rPr>
        <w:t>425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10434</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80.34</w:t>
      </w:r>
      <w:r>
        <w:rPr>
          <w:rFonts w:hint="eastAsia" w:ascii="仿宋_GB2312" w:eastAsia="仿宋_GB2312"/>
          <w:color w:val="000000"/>
          <w:sz w:val="32"/>
          <w:szCs w:val="32"/>
        </w:rPr>
        <w:t>万元。</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bookmarkStart w:id="46" w:name="_Toc15377218"/>
      <w:bookmarkStart w:id="47"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10.83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0.31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2.78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单位下半年减少一人。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招商引资</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投资服务局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106.56万元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106.56万元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完成市下招商引资工作任务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7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73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77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83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78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692"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bl>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hint="eastAsia" w:ascii="楷体_GB2312" w:hAnsi="楷体_GB2312" w:eastAsia="楷体_GB2312" w:cs="楷体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投资服务局</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年部门整体支出绩效评价报告》见附件（附件1）。</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26"/>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left="638" w:leftChars="304" w:firstLine="0" w:firstLineChars="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商贸事务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单位日常工作经费</w:t>
      </w:r>
      <w:r>
        <w:rPr>
          <w:rFonts w:hint="eastAsia" w:ascii="仿宋_GB2312" w:eastAsia="仿宋_GB2312"/>
          <w:color w:val="000000"/>
          <w:sz w:val="32"/>
          <w:szCs w:val="32"/>
        </w:rPr>
        <w:t>。</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商贸事务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招商引资</w:t>
      </w:r>
      <w:r>
        <w:rPr>
          <w:rStyle w:val="16"/>
          <w:rFonts w:hint="eastAsia" w:ascii="仿宋" w:hAnsi="仿宋" w:eastAsia="仿宋"/>
          <w:bCs/>
          <w:color w:val="000000"/>
          <w:sz w:val="32"/>
          <w:szCs w:val="32"/>
        </w:rPr>
        <w:t>（项）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开展招商引资工作经费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社会保障和就业（类）行政事业单位离退休（款）机关事业单位基本养老保险缴费支出（项）指</w:t>
      </w:r>
      <w:r>
        <w:rPr>
          <w:rFonts w:hint="eastAsia" w:ascii="仿宋_GB2312" w:eastAsia="仿宋_GB2312"/>
          <w:color w:val="000000"/>
          <w:sz w:val="32"/>
          <w:szCs w:val="32"/>
          <w:lang w:eastAsia="zh-CN"/>
        </w:rPr>
        <w:t>养老保险等</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16.卫生健康（类）行政事业单位医疗（款）行政单位医疗（项）：指</w:t>
      </w:r>
      <w:r>
        <w:rPr>
          <w:rFonts w:hint="eastAsia" w:ascii="仿宋_GB2312" w:eastAsia="仿宋_GB2312"/>
          <w:color w:val="000000"/>
          <w:sz w:val="32"/>
          <w:szCs w:val="32"/>
          <w:lang w:eastAsia="zh-CN"/>
        </w:rPr>
        <w:t>医疗保险等费用</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 w:hAnsi="仿宋" w:eastAsia="仿宋"/>
          <w:b/>
          <w:bCs/>
          <w:color w:val="000000" w:themeColor="text1"/>
          <w:sz w:val="32"/>
          <w:szCs w:val="32"/>
        </w:rPr>
        <w:t>住房保障支出</w:t>
      </w:r>
      <w:r>
        <w:rPr>
          <w:rStyle w:val="16"/>
          <w:rFonts w:hint="eastAsia" w:ascii="仿宋" w:hAnsi="仿宋" w:eastAsia="仿宋"/>
          <w:bCs/>
          <w:color w:val="000000"/>
          <w:sz w:val="32"/>
          <w:szCs w:val="32"/>
        </w:rPr>
        <w:t>（类）住房改革支出（款）住房公积金（项）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住房公积金经费</w:t>
      </w:r>
      <w:r>
        <w:rPr>
          <w:rStyle w:val="16"/>
          <w:rFonts w:hint="eastAsia" w:ascii="仿宋" w:hAnsi="仿宋" w:eastAsia="仿宋"/>
          <w:b w:val="0"/>
          <w:bCs/>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hint="eastAsia" w:ascii="仿宋" w:hAnsi="仿宋" w:eastAsia="仿宋"/>
          <w:b/>
          <w:color w:val="000000"/>
          <w:sz w:val="32"/>
          <w:szCs w:val="32"/>
          <w:lang w:eastAsia="zh-CN"/>
        </w:rPr>
        <w:t>2018</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sz w:val="32"/>
          <w:szCs w:val="32"/>
        </w:rPr>
      </w:pP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投资服务局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en-US" w:eastAsia="zh-CN" w:bidi="ar-SA"/>
        </w:rPr>
        <w:t>投资服务局是参照公务员法管理的正科级事业单位，核定人员编制为7人，下设办公室和统计股。无纳入201</w:t>
      </w:r>
      <w:r>
        <w:rPr>
          <w:rFonts w:hint="eastAsia" w:hAnsi="宋体" w:cs="宋体"/>
          <w:color w:val="000000"/>
          <w:kern w:val="0"/>
          <w:sz w:val="32"/>
          <w:szCs w:val="32"/>
          <w:shd w:val="clear" w:color="auto" w:fill="FFFFFF"/>
          <w:lang w:val="en-US" w:eastAsia="zh-CN" w:bidi="ar-SA"/>
        </w:rPr>
        <w:t>9</w:t>
      </w:r>
      <w:r>
        <w:rPr>
          <w:rFonts w:hint="eastAsia" w:ascii="仿宋_GB2312" w:hAnsi="宋体" w:eastAsia="仿宋_GB2312" w:cs="宋体"/>
          <w:color w:val="000000"/>
          <w:kern w:val="0"/>
          <w:sz w:val="32"/>
          <w:szCs w:val="32"/>
          <w:shd w:val="clear" w:color="auto" w:fill="FFFFFF"/>
          <w:lang w:val="en-US" w:eastAsia="zh-CN" w:bidi="ar-SA"/>
        </w:rPr>
        <w:t>年度部门决算编制范围的二级预算单位。</w:t>
      </w:r>
    </w:p>
    <w:p>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机构职能。</w:t>
      </w:r>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贯彻执行中央、省、市扩大开放、投资促进、招商引资的方针政策，负责全县投资促进和招商引资的具体政策、措施、规划、年度计划的制定、执行、监督和落实;负责全县投资促进相关工作的统筹组织，指导并督查全县各乡镇、各有关部门投资促进工作;负责建立和完善招商项目库,牵头负责全县招商引资项目的包装、信息发布及对外宣传工作;承办全县重大招商引资活动；负责全县重点、重大项目的招商引资跟踪促进和统筹协调工作;为外来投资者代办投资相关手续，协调解决投资者反映的重要问题;负责县招商引资指标运行的统计、分析、上报工作;为投资者提供咨询服务。负责外地驻蔺办事机构设立的接洽工作;完成县委、县政府交办的其他工作。</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p>
    <w:p>
      <w:pPr>
        <w:widowControl/>
        <w:numPr>
          <w:ilvl w:val="0"/>
          <w:numId w:val="4"/>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default"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2019年机构人员年末实有在职人员6人，无临聘人员和借用人员。</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2019年收入财政拨款200.22万元。</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2019年支出200.22万元。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年初预算部门绩效目标严格按照相关工作经费及长效项目预算经费制定，全年按照绩效目标完成相关工作，预算编制准确，在实际工作中严控支出，根据实际工作需要进行预算动态调整，按工作进行进度执行支出，使预算调整数与支出数一致，无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对绩效自评公开，未收到对评价结果反馈的意见建议。</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2018年部门整体支出绩效自评结果显示，我单位绩效管理情况较为理想，达到了年初设定的各项绩效目标。所有资金使用严格按审批程序办理、操作规范，会计核算结果真实、准确，各项支出严格按照各项制度执行。</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内控制度需进一步完善，随着资金管理改革的进一步推进，我单位内部机构进行了相应的优化，建立健全了财务管理制度、固定资产管理制度、费用报销规程等制度，但仍需进一步强化财务约束监督体制。</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 1、科学合理编制预算，严格执行预算。进一步提高预算编制到位率，做准做全基本支出预算，做全项目支出预算，加强预算支出的审核、跟踪及预算执行情况分析，提高预算编制严谨性和可控性。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2、进一步加强项目资金管理。严格实行项目管理程序化，实现项目申报、实施、拨付、评价全流程监督与控制，规范专项资金管理，提高专项资金的使用效益。</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3、进一步完善内部管理制度，提升管理效能，更好地履行生态文明建设职能。</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3"/>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9C126ED"/>
    <w:multiLevelType w:val="singleLevel"/>
    <w:tmpl w:val="D9C126ED"/>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C8211C0"/>
    <w:multiLevelType w:val="singleLevel"/>
    <w:tmpl w:val="3C8211C0"/>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1AFC72F5"/>
    <w:rsid w:val="240371BF"/>
    <w:rsid w:val="29FD04D3"/>
    <w:rsid w:val="319F7F4E"/>
    <w:rsid w:val="39CE7D40"/>
    <w:rsid w:val="4ECE2238"/>
    <w:rsid w:val="72734D90"/>
    <w:rsid w:val="7E034F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spacing w:line="560" w:lineRule="exact"/>
      <w:ind w:firstLine="633" w:firstLineChars="204"/>
    </w:pPr>
    <w:rPr>
      <w:rFonts w:ascii="仿宋_GB2312" w:eastAsia="仿宋_GB2312"/>
      <w:sz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3</TotalTime>
  <ScaleCrop>false</ScaleCrop>
  <LinksUpToDate>false</LinksUpToDate>
  <CharactersWithSpaces>8536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姚</cp:lastModifiedBy>
  <cp:lastPrinted>2020-07-23T02:58:00Z</cp:lastPrinted>
  <dcterms:modified xsi:type="dcterms:W3CDTF">2021-06-15T06:05:32Z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A556CAF2A7B7412DA0ED558D142E78BD</vt:lpwstr>
  </property>
</Properties>
</file>